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Орлянский Максим Владимирович обратился в суд с заявлением о признании недействительной сделкой перечисления должником денежных средств в пользу общества в размере 1 942 155 рублей 51 копейки, применении последствий недействительности сделки. Определением Арбитражного суда города Москвы от 19.02.2020 в удовлетворении заявления отказано. Постановлением Девятого арбитражного апелляционного суда от 22.07.2020, оставленным без изменения постановлением Арбитражного суда Московского округа от 12.10.2020, вышеуказанное определение отменено; заявление удовлетворено. В кассационной жалобе, поданной в Верховный Суд Российской Федерации, заявитель просит отменить указанные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и повторно разрешая спор, апелляционный суд руководствовался пунктами 1 и 2 статьи 61.3 Федерального закона от 26.10.2002 № 127-ФЗ «О несостоятельности (банкротстве)», пунктом 11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 из доказанности совокупности условий для признания недействительной оспариваемой сделки, совершённой после принятия заявления о признании должника банкротом и повлекшей за собой предпочтительное удовлетворение требований общества. Суд округа согласился с выводами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«ЭГЕОС»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