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10.08.2020 суд первой инстанции отложил судебное разбирательство и отказал арбитражному управляющему в удовлетворении ходатайства об истребовании у прокуратуры материалов административного дела. 2 Определением Пятнадцатого арбитражного апелляционного суда от 11.09.2020 апелляционная жалоба арбитражного управляющего на указанное определение возвращена на основании пункта 2 части 1 статьи 264 Арбитражного процессуального кодекса Российской Федерации. Постановлением Арбитражного суда Северо-Кавказского округа от 29.10.2020 определение суда апелляционной инстанции оставлено без изменения. Арбитражный управляющий просит отменить обжалуемые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 отсутствие доводов о том, что суд переложил на арбитражного управляющего негативные последствия отсутствия доказательств, с учетом того, что арбитражный управляющий не лишен возможности заявлять свои возражения при обжаловании судебного акта по существу спора,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