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04.02.2020, оставленным без изменения постановлением Тринадцатого арбитражного апелляционного суда от 02.06.2020, в удовлетворении заявленных требований отказано. Постановлением Арбитражного суда Северо-Западного округа от 13.10.2020 указанные судебные акты оставлены без изменения. Учреждение просит принятые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несоблюдения учреждением Правила благоустройства территории Санкт- Петербурга, выразившийся в неосуществлении обязанностей по очистке и промывке фасадов зданий, а также по их ремонту. Пунктом 2 статьи 20 Закона № 273-70 предусмотрена ответственность за неосуществление обязанностей по очистке и промывке фасадов зданий и сооружений, а также по смывке, окраске в цвет, соответствующий утвержденному колерному бланку фасада, несанкционированных надписей и рисунков по мере их появления на фасадах зданий и сооружений или 3 размещенных на них элементов благоустройства, за исключением административных правонарушений, ответственность за совершение которых предусмотрена Кодексом Российской Федерации об административных правонарушениях. Неосуществление обязанностей по текущему и капитальному ремонту фасадов зданий и сооружений или размещенных на них элементов благоустройства, в том числе окраска фасада здания, строения, сооружения и их элементов без колерного бланка или с нарушением колерного бланка, утвержденного в составе правил благоустройства территории Санкт- Петербурга, за исключением административных правонарушений, ответственность за совершение которых предусмотрена Кодексом Российской Федерации об административных правонарушениях, влечет ответственность, предусмотренную пунктом 3 статьи 20 Закона № 273-70. Оценив представленные доказательства, руководствуясь положениями Правил благоустройства территории Санкт-Петербурга, утвержденных постановлением Правительства Санкт-Петербурга от 09.11.2016 № 961, суды пришли к выводу о наличии в действиях учреждения состава вмененных правонарушений, признав, что именно учреждение является в рассматриваемом случае лицом, уполномоченным Министерством обороны Российской Федерации на содержание (эксплуатацию) объекта благоустройства. Процедура и срок давности привлечения к ответственности соблюдены. Оснований для признания правонарушения малозначительным и применения статьи 4.1.1 Кодекса Российской Федерации об административных правонарушениях не установлено. Доводы жалобы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