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30.01.2020 исковое заявление удовлетворено частично, с учреждения в пользу общества взыскана задолженность в сумме 4 899 604 рублей 15 копеек, пени в сумме 179 325 рублей 51 копейки. В удовлетворении остальной части иска отказано. Постановлением Девятого арбитражного апелляционного суда от 17.07.2020, оставленным без изменения постановлением Арбитражного суда Московского округа от 11.11.2020, решение суда отменено, в удовлетворении искового заявления отказано. В кассационной жалобе, поданной в Верховный Суд Российской Федерации, общество, ссылаясь на существенное нарушение норм права, 2 просит отменить судебные акты судов апелляционной инстанции и округа и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17.08.2016 обществом и учреждением по итогам конкурса в электронном формате заключен государственный контракт № 043/16-ГЗ (31603861637) на выполнение строительно-монтажных работ по модернизации автоматизированной парковочной системы (АПС) парковочных пространств. Ответчик исполнил обязательство по оплате авансового платежа. Истцом в рамках договора выполнены работы на сумму 9 016 478 рублей 74 копейки, однако, указанные работы ответчиком не оплачены. С учетом произведенного авансового платежа на сумму 1 507 570 рублей 51 копейка долг ответчика перед истцом составил 7 508 908 рублей 23 копейки. Указанные обстоятельства послужили основанием для обращения общества в арбитражный суд. Исследовав и оценив представленные в материалы дела доказательства, суд первой инстанции пришел к выводу о наличии оснований для частичного удовлетворения заявленных исковых требований, пересчитав подлежащие к взысканию суммы основного долга и пени за вычетом установленного договором гарантийного удержания. Отменяя решение суда и отказывая в иске, суд апелляционной инстанции, учитывая результаты судебной экспертизы, исходил из того, что работа выполнена подрядчиком некачественно, недостатки не устранены, а стоимость небольшой части надлежаще выполненной работы не превышает сумму полученного авансового платежа. При этом к экспертному заключению приложен сметный расчет, из которого следует, что определенная экспертами стоимость работ надлежащего 3 качества в размере 1 414 450 рублей 97 копеек включает не только стоимость работ, но и стоимость понесенных затрат (материалов оборудования). Доводы кассационной жалобы являлись предметом рассмотрения судов апелляционной инстанции и округа и получили надлежащую правовую оценку. Указанные доводы повторяют позицию заявителя, изложенную при рассмотрении дела, направлены на переоценку доказательств и установление по делу иных фактических обстоятельств, не свидетельствуют о существенном нарушении норм материального и процессуального права, повлиявших на исход дела, и не могут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«Конструктив»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