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05.02.2020, оставленным без изменения постановлениями Семнадцатого арбитражного апелляционного суда от 17.06.2020 и Арбитражного суда Уральского округа от 27.10.2020,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документарной проверки выполнения обществом требований ранее выданного предписания от 05.06.2019 № ПР-1966 инспекцией установлено его частичное исполнение, а также выявлены нарушения лицензионных требований, в связи с чем выдано повторное предписание. Основанием для выдачи повторного предписания послужил вывод инспекции о несоблюдении обществом требований, предусмотренных частью 2 статьи 162 Жилищного кодекса Российской Федерации (далее – Жилищный кодекс), подпунктом «ж» пункта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 (далее - Правила № 416), выразившихся в неисключении стоимости по вывозу твердых бытовых отходов (далее - ТБО) из состава платы за содержание жилого помещения в многоквартирном доме (далее – МКД). Не соглашаясь с указанным ненормативным актом,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кодекса, Федерального закона от 29.12.2014 № 458-ФЗ «О внесении изменений в Федеральный закон «Об отходах производства и потребления» (далее - Закон № 458-ФЗ), Правилами № 416, пришли к выводу о том, что оспариваемое предписание соответствует действующему законодательству и не нарушает прав и законных интересов общества. Судебные инстанции исходили из того, что начиная с января 2019 года общество должно было исключить из платы за содержание жилого помещения в МКД стоимость услуг по вывозу ТКО, поскольку с указанного периода услуга по обращению с ТКО включается в состав платы за коммунальные услуги и отражается в платежном документе отдельной строкой. При этом суды отметили, что Законом № 458-ФЗ предусмотрена обязанность управляющей организации исключить из платы за содержание жилого помещения плату за услуги по вывозу отходов без принятия решения общим собранием собственников жилья. 3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«Советская»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