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«Инвестор» обратилось в Арбитражный суд города Москвы с иском к обществу с ограниченной ответственностью «Эни Хоум» об обязании заменить товар ненадлежащего качества, поставленный по договору купли-продажи мебели от 20.02.2018 № 1415. Решением Арбитражного суда города Москвы от 24.01.2020 в удовлетворении иска отказано. Постановлением Девятого арбитражного апелляционного суда от 14.07.2020 решение суда первой инстанции оставлено без изменения. Арбитражный суд Московского округа постановлением от 03.11.2020 указанные судебные акты оставил без изменения. Общество с ограниченной ответственностью «Инвестор»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поставки ответчиком товара ненадлежащего качества, руководствуясь статьями 469, 475, 476, 477 Гражданского кодекса Российской Федерации, суды пришли к выводу об отсутствии оснований для удовлетворения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 поскольку суды, проанализировав и оценив представленные доказательства, не усмотрели оснований для назначения экспертизы.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