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27.02.2020, оставленным без изменения постановлением Восемнадцатого арбитражного апелляционного суда от 22.06.2020, в удовлетворении заявления отказано, изъятые предметы направлены на уничтожение. 2 Постановлением Суда по интеллектуальным правам от 08.10.2020 указанные судебные акты оставлены без изменения. Предприниматель просит обжалуемые судебные акты судов апелляционной и кассационной инстанций отменить в полном объеме, решение суда первой инстанции отменить в части выводов о направлении контрафактной продукции на уничтожение, считая их принятыми с нарушением норм материального и процессуального права.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Суды установили наличие признаков контрафактности продукции, предлагаемой к продаже привлекаемым к ответственности лицом, однако признав, что административным органом нарушена процедура привлечения предпринимателя к административной ответственности, отказали в удовлетворении требований, направив изъятую продукцию на уничтожение.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невозможна, в том числе, защита нарушенных прав, свобод, законных интересов в сфере предпринимательской и иной экономической деятельности. Таких обстоятельств по доводам жалобы не установлено. В отсутствие доказательств использования товарного знака с разрешения его владельца, выводы судов в части изъятия продукции не противоречат правовой позиции, изложенной в пункте 15.1 постановления Пленума Высшего Арбитражного Суда Российской Федерации от 02.06.2004 № 10 «О некоторых 3 вопросах, возникших в судебной практике при рассмотрении дел об административных правонарушениях». Допущенная судом апелляционной инстанции переквалификация правонарушения не привела к нарушению прав и законных интересов предпринимателя, поскольку решение суда первой инстанции оставлено без изменения, административному органу отказано в удовлетворении требований о привлечении предпринимателя к ответственности. При этом допущенная переквалификация на изъятие продукции повлиять не могла. При указанных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