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обществом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 184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«Западстрой» удовлетворить. Срок подачи кассационной жалобы на решение Арбитражного суда города Москвы от 03.02.2020, постановление Девятого арбитражного апелляционного суда от 16.06.2020 и постановление Арбитражного суда Московского округа от 07.10.2020 по делу № А40-59729/2019 восстановить.Судья Верховного Суда Российской Федерации Н.С. Чучунова Суд: Верховный Суд РФ (подробнее) Истцы: ООО "ЗападСтрой" (подробнее) Ответчики: ПАО "ФЕДЕРАЛЬНАЯ СЕТЕВАЯ КОМПАНИЯ ЕДИНОЙ ЭНЕРГЕТИЧЕСКОЙ СИСТЕМЫ"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