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«Уралторг» обратилось в Арбитражный суд Челябинской области с иском о взыскании с общества с ограниченной ответственностью «Финстрой» 1 127 705 рублей задолженности и 285 461 рубля 68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«Формула Бетона». Решением Арбитражного суда Челябинской области от 04.03.2020 в удовлетворении иска отказано. Постановлением Восемнадцатого арбитражного апелляционного суда от 26.06.2020 решение суда первой инстанции отменено, иск удовлетворен. Арбитражный суд Уральского округа постановлением от 20.10.2020 постановление суда апелляционной инстанции оставил без изменения. 2 Общество с ограниченной ответственностью «Финстрой»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исключив спорное письмо из числа доказательств по делу в порядке статьи 161 АПК РФ, установив факт поставки нефтепродукции на спорную сумму по передаточному документу и принятие покупателем товара, наличие долга и просрочку в оплате поставленного товара, руководствуясь положениями статей 309, 310, 395, 506, 516 Гражданского кодекса Российской Федерации, суд апелляционной инстанции пришел к выводу об обоснованности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арбитражный суд кассационной инстанции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«Финстрой»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