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привлечении к субсидиарной ответственности Правительства Российской Федерации, Министерства финансов Российской Федерации, Министерства экономического развития Российской Федерации, Правительства Чеченской Республики, Министерства финансов Чеченской Республики, Министерства строительства и жилищно-коммунального хозяйства Чеченской Республики (далее – ответчики); взыскании с них солидарно 2 645 538 650 рублей. Определением Арбитражного суда Чеченской Республики от 13.07.2020, оставленным без изменения постановлениями Шестнадцатого арбитражного апелляционного суда от 09.09.2020 и Арбитражного суда Северо-Кавказского округа от 02.12.2020, в удовлетворении заявления отказано в полном объёме.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56, 114, 196 Гражданского кодекса Российской Федерации, статьями 10, 61.14 Федерального закона от 26.10.2002 № 127-ФЗ «О несостоятельности (банкротстве)», исходили из отсутствия оснований для привлечения ответчиков к субсидиарной ответственности по обязательствам должника, признав также пропущенным срок исковой давности для заявления данного требования.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поданной заявителем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«Сити 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