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27.02.2020, оставленным без изменения постановлением Девятого арбитражного апелляционного суда от 18.06.2020 и постановлением Арбитражного суда Московского округа от 07.10.2020, в удовлетворении иска отказано. В кассационной жалобе институт просит об отмене судебных актов, ссылаясь не неосновательное применение к страхованию поставочных норм, нарушение в толковании экспортного контракта и игнорирование исполнения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представленные доказательства не подтверждают реальности поставки согласованному в контракте грузополучателю, поэтому возложили на институт риск неполучения оплаты и признали ее не попадающей под страховую защиту, оказываемую в пределах договора страхования коммерческого кредита от 30.10.2017 № 119-17-02-1 Исполнение экспортного контракта, подчиняющегося российскому праву, правомерно исследовалось и оценивалось с применением норм Гражданского кодекса Российской Федерации о купле-продаже. Заявленное в качестве страхового событие оценивалось на соответствие согласованным условиям страхования.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«Научно-исследовательский институт прикладных исследований и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