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16.12.2019, оставленным без изменения постановлением Девятого арбитражного апелляционного суда от 23.06.2020, иск удовлетворен. Арбитражный суд Московского округа постановлением от 08.10.2020 решение от 16.12.2019 и постановление Девятого арбитражного апелляционного суда от 23.06.2020 оставил без изменения. В кассационной жалобе компания просит об отмене судебных актов вследствие неправильной оценки обстоятельств дела и нарушения норм материального и процессуального права.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неучастие компании в трудоустройстве игрока и заключении с ним контракта, договоренность о которых была достигнута на период заключения оспариваемого договора. Обстоятельства заключения договора о предоставлении посреднических услуг от 17.01.2018, направленность воли сторон суды компетентны были оценить на соответствие пределам осуществления гражданских прав и применить последствия нарушения таковых (статья 10 Гражданского кодекса Российской Федерации).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компании Golden Toys LLP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