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06.03.2020, оставленным без изменения постановлением Одиннадцатого арбитражного апелляционного суда от 13.07.2020 и постановлением Арбитражного суда Поволжского округа от 06.10.2020, заявление предпринимателя о взыскании 40 000 рублей судебных расходов удовлетворено. В кассационной жалобе общество просит об отмене судебных актов, ссылаясь на наличие условия для применения части 1 статьи 111 Арбитражного процессуального кодекса Российской Федерации и недоказанность судебных расходов.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 распределении судебных расходов суды руководствовались постановлением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статьями 101, 106, 110 Арбитражного процессуального кодекса Российской Федерации, характером спора и обстоятельствами рассмотрения дела. Суды проверили соответствие заявленных судебных расходов критериям разумности и обоснованности, определенным законом и судебной практикой, и установили разумную и обоснованную сумму затрат, понесенных предпринимателем в связи с рассмотрением дела, во взысканном размере. Применение правила распределения судебных расходов, предусмотренного частью 1 статьи 111 Арбитражного процессуального кодексах Российской Федерации, судами не обсуждалось, поэтому соответствующий довод жалобы также обсуждению не подлежит.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 Инструмента»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