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23.12.2019 и дополнительным решением от 22.01.2020, оставленными без изменения постановлением Девятнадцатого арбитражного апелляционного суда от 27.05.2020, взыскано 437 568 рублей 21 копейка неосновательного обогащения. Арбитражный суд Центрального округа постановлением от 07.10.2020 решение от 23.12.2019, дополнительное решение от 22.01.2020 и постановление Девятнадцатого арбитражного апелляционного суда от 27.05.2020 оставил без изменения. 2 В кассационной жалобе общество «Хлевноебытсервис» просит об отмене судебных актов, ссылаясь на отсутствие права на иск у истца и объекта для обложения налогом на добавленную стоимость.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по доводам кассационной жалобы не усматривается. Суды установили, что муниципальное имущество было передано в залог Сбербанку и на него обращено взыскание по долгам заемщика в судебном порядке. При продаже имущества во исполнение решения суда в продажную цену имущества была включена сумма налога на добавленную стоимость, которая не составляла цену собственно имущества. В вырученной за имущество сумме соответствующая сумма не составляла стоимости имущества и не причиталась кредитору (Сбербанку (ответчику)) и была получена им неосновательно, поэтому правомерно взыскана на основании статьи 1102 Гражданского кодекса Российской Федерации. Доводы ответчика о праве истца на взыскание спорной суммы, наличии объекта налогообложения не имеют правового значения при установленном отсутствии у него права на ее получение и удержание.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«Хлевноебытсервис»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