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05.09.2019, оставленным без изменения постановлением Одиннадцатого арбитражного апелляционного суда от 25.06.2020, взыскано 1 333 089 560 рублей 36 копеек задолженности, 311 487 204 рубля 89 копеек процентов и 27 000 000 рублей неустойки. Арбитражный суд Поволжского округа постановлением от 08.10.2020 решение от 05.09.2019 и постановление Одиннадцатого арбитражного апелляционного суда от 25.06.2020 оставил без изменения. 2 В кассационной жалобе объединение просит об отмене судебных актов вследствие нарушения в оценке доказательств и неисследования действительности договора поручительства.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Судебная почерковедческая экспертиза назначена судом первой инстанции в целях проверки довода ответчика о неподписании договора поручительства. Выводы эксперта оценены наряду с заключениями, полученными в рамках уголовного дела, и в совокупности эти доказательства признаны достаточными для установления подписавшего от имени объединения договор лица. Возражений в отношении действительности поручительства ответчиком не заявлялось, поэтому этот вопрос судами не обсуждался.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«Производственно- строительное объединение «Казань»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