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16.06.2020, оставленным без изменения постановлением Седьмого арбитражного апелляционного суда от 30.07.2020, в удовлетворении заявленного требования 2 отказано в связи с пропуском срока давности привлечения к административной ответственности. Постановлением Арбитражного суда Западно-Сибирского округа от 13.10.2020 указанные судебные акты оставлены без изменения. Административный орган в кассационной жалобе просит отменить состоявшиеся по делу судебные акты в связи с неправильным определением начала течения срока давности привлечения к административной ответственности. Между тем,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передача кассационной жалобы в Судебную коллегию Верховного Суда Российской Федерации не приведет к защите публичных прав, поскольку трехмесячный срок давности привлечения к административной ответственности на момент рассмотрения кассационной жалобы в любом случае истек.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3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