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24.12.2019, оставленным без изменения постановлением Третьего арбитражного 2 апелляционного суда от 18.06.2020, в удовлетворении заявленного требования отказано. Постановлением Арбитражного суда Восточно-Сибирского округа от 26.10.2020 указанные судебные акты оставлены без изменения. Глава КФХ обратился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судами существенные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жалобы, дополнения к ней и принятых по делу судебных актов таких оснований не установлено. Как следует из судебных актов, административным органом выявлен факт зарастания земельных участков сельскохозяйственного назначения сорной и древесно-кустарниковой растительностью. Частью 2 статьи 8.7 Кодекса Российской Федерации об административных правонарушениях предусмотрена ответственность за невыполнение установленных требований и обязательных мероприятий по улучшению, защите земель и охране почв от ветровой, водной эрозии и предотвращению других процессов и иного негативного воздействия на окружающую среду, ухудшающих качественное состояние земель. Оценив представленные доказательства и установив, что глава КФХ, являясь арендатором земельных участков, не выполняет установленные требования и обязательные мероприятия по улучшению земель, охране почв и 3 предотвращению других процессов, ухудшающих качественное состояние земель, руководствуясь положениями статей 13, 42 Земельного кодекса Российской Федерации, статьи 1 Федерального закона от 16.07.1998 № 101-ФЗ «О государственном регулировании обеспечения плодородия земель сельскохозяйственного назначения», суды пришли к выводу о наличии в действиях главы КФХ состава правонарушения, ответственность за совершение которого предусмотрена частью 2 статьи 8.7 Кодекса Российской Федерации об административных правонарушениях, и правомерности вынесенного предписания. Процедура и срок давности привлечения к ответственности соблюдены. Оснований для признания правонарушения малозначительным и применения положений статьи 2.9 Кодекса не установлено. Ссылка на осуществляемый вид деятельности (пчеловодство) сама по себе не свидетельствует об отсутствии состава правонарушения при наличии у главы КФХ обязанности по сохранению земель, при этом нецелевого использования земельных участков ему не вменяется. Приведенные в жалобе доводы предполагают необходимость переоценки имеющихся доказательств и установления иных фактических обстоятельств дела, что не относится к полномочиям Судебной коллегии Верховного Суда Российской Федерации, рассматривающей дело по правилам кассационного производства.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