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«НТК» (далее – общество) обратилось в Арбитражный суд Кемеровской области с иском к индивидуальному предпринимателю Карькову Андрею Михайловичу (далее – Карьков А.М.) о взыскании 9 250 000 руб. неосновательного обогащения, 220 479 руб. 45 коп. процентов за пользование чужими денежными средствами. Карьков А.М. заявил встречный иск о взыскании с общества 11 750 000 руб. задолженности. Решением Арбитражного суда Кемеровской области от 04.06.2019, оставленным без изменения постановлением Седьмого арбитражного апелляционного суда от 28.08.2019, первоначальные исковые требования удовлетворены, производство по встречному иску прекращено. Карьков А.М., не согласившись с указанными судебными актами, обратился в Арбитражный суд Западно-Сибирского округа с кассационной жалобой, заявив ходатайство о восстановлении пропущенного процессуального срока. Арбитражный суд Западно-Сибирского округа определением от 09.11.2020, оставленным без изменения определением того же суда от 08.12.2020, возвратил кассационную жалобу заявителя на основании пункта 2 части 1 статьи 281 Арбитражного процессуального кодекса Российской Федерации в связи с пропуском срока подачи и отказом в удовлетворении ходатайства о его восстановлении. Карьков А.М. обратился в Верховный Суд Российской Федерации с кассационной жалобой на определения суда округа, в которой ссылается на их незаконность.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Отказывая в восстановлении пропущенного процессуального срока и возвращая кассационную жалобу, суд округа руководствовался положениями статей 121, 123, 276, 281 Арбитражного процессуального кодекса Российской Федерации, разъяснениями, приведенными в пункте 32 постановления Пленума Высшего Арбитражного Суда Российской Федерации от 25.12.2013 № 99 «О процессуальных сроках», и исходил из того, что с жалобой на решение от 04.06.2019 и постановление от 28.10.2019 Карьков А.М. обратился 23.10.2020, то есть с пропуском установленного законом пресекательного шестимесячного срока. При этом суд указал, что Карьков А.М. был надлежащим образом извещен о судебном процессе и какие-либо уважительные причины пропуска срока на подачу жалобы отсутствуют. С указанными выводами согласился арбитражный суд округа при рассмотрении жалобы заявителя, поданной в порядке статьи 291 Арбитражного процессуального кодекса Российской Федерации. Доводы кассационной жалобы не опровергают выводы суда округа и не подтверждают существенных нарушений норм права, повлиявших на исход дела, и в силу статьи 291.6 Арбитражного процессуального кодекса Российской Федерации не является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Карькова Андрея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