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21.05.2020, оставленным без изменения постановлением Девятого арбитражного апелляционного суда от 11.08.2020 и постановлением Арбитражного суда Московского округа от 07.10.2020, исковое заявление общества возвращено.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Вынося определение о возвращении искового заявления общества, суд первой инстанции, выводы которого впоследствии поддержали суды апелляционной инстанции и округа, действовал в пределах полномочий, предусмотренных статьей 129 Арбитражного процессуального кодекса Российской Федерации, и исходил из того, что в соответствии с пунктом 4 части 1 названной статьи неустранение обстоятельств, послуживших основанием для оставления заявления без движения, в установленный в определении суда срок, влечет возвращение такого заявления. Доводы кассационной жалобы были предметом рассмотрения судов апелляционной инстанции и округа и получили правовую оценку. Изложенные в кассационной жалобе доводы не подтверждают существенных нарушений судами норм права, повлиявших на исход дела, и не являются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«Производственно-хозяйственное предприятие инвалидов «ПХПИ»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