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13.03.2020, оставленным без изменения постановлением Двенадцатого арбитражного апелляционного суда от 23.06.2020 и постановлением Арбитражного суда Поволжского округа от 08.10.2020, в удовлетворении иска отказано. 2 В кассационных жалобах завод и концерн просят отменить судебные акты, ссылаясь на нарушение срока поставки.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установили, что требование о возврате аванса противоречит договору от 14.05.2015 № 2015.01, предусматривающему возмещение обществу затрат на изготовление продукции при досрочном расторжении договора по инициативе завода, имевшем место в связи с отказом от получения и окончательной оплаты продукции. Довод завода о ненадлежащем извещении его о рассмотрении дела окружным судом не создает оснований для пересмотра судебных актов, учитывая, что в силу части 6 статьи 121 Арбитражного процессуального кодекса Российской Федерации последствия неполучения информации о движении дела несет завод.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«Саратовский радиоприборный завод» и акционерному обществу «Концерн «Гранит-Электрон»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