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«Концерн «Гранит-Электрон» срок подачи кассационной жалобы на решение Арбитражного суда Саратовской области от 13.03.2020 по делу № А57-19123/2019, постановление Двенадцатого арбитражного апелляционного суда от 23.06.2020 и постановление Арбитражного суда Поволжского округа от 08.10.2020 по тому же делу. Судья Верховного Суда Российской Федерации Н.А. Ксенофонтова Суд: Верховный Суд РФ (подробнее) Истцы: АО "САРАТОВСКИЙ РАДИОПРИБОРНЫЙ ЗАВОД" (подробнее) Ответчики: АО "Цифроник" (подробнее) Иные лица: Арбитражный суд Поволжского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