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города Москвы от 09.12.2019, оставленным без изменения постановлением Девятого арбитражного апелляционного суда от 23.03.2020, взыскано 11 841,67 долларов США стоимости выполненных работ, 10 657,50 долларов США неустойки по курсу Центрального банка Российской Федерации на дату платежа. 2 Арбитражный суд Московского округа постановлением от 08.10.2020 решение от 09.12.2019 и постановление Девятого арбитражного апелляционного суда от 23.03.2020 в части отказа в удовлетворении исковых требований отменил и взыскал часть суммы первого платежа по соглашению о работах и услугах в 3 квартале 2013 года в виде разницы между стоимостью выполненных работ и оказанных услуг в 3 квартале 2013 года (за период 01.08.2013 по 30.09.2013) и общей суммой первого платежа по Заказу и Соглашению о работах и услугах в размере 5 920,83 долларов США в рублевом эквиваленте по курсу Центрального банка Российской Федерации, 5 328,50 долларов США компенсации за нарушение срока оплаты части первого платежа (в сумме 5 920, 83 доллара США) за период с 01.09.2013 по 31.07.2018 в рублевом эквиваленте по курсу Центрального банка Российской Федерации; в остальной части судебные акты оставил без изменения. В кассационной жалобе общество «Прогресс» просит об отмене постановления суда округа, ссылаясь на неприменение пункта 3 статьи 328 Гражданского кодекса Российской Федерации.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к правоотношениям сторон применимым является право Государства Израиль. В такой ситуации довод о неприменении пункта 3 статьи 328 Гражданского кодекса Российской Федерации не создает оснований для кассационного пересмотра судебных актов. Оспариваемая сумма взыскана на основании условий соглашения от 01.08.2013 и доказательств его исполнения.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«Прогресс»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