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7 102 188 рублей 33 копеек. Определением Арбитражного суда города Москвы от 05.03.2020, оставленным без изменения постановлениями Девятого арбитражного апелляционного суда от 13.07.2020 и Арбитражного суда Московского округа от 05.10.2020,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установив, что общество предъявило требования к Севастьяненко А.В. как поручителю за пределами срока действия договора залога в отсутствие надлежащих оснований для изменения срока действия данного договора, пришли к выводу об отказе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 заявителя относительно заключения с должником соглашения о переводе долга был предметом рассмотрения суда округа и получил надлежащую правовую оценку, отклонён как несостоятельный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«АгроСорос Трейд»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