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26.06.2019, оставленным без изменения постановлением Двенадцатого арбитражного апелляционного суда от 03.09.2019, исковые требования удовлетворены. Арбитражный суд Поволжского округа постановлением от 09.12.2019 отменил указанные судебные акты и направил дело на новое рассмотрение в Арбитражный суд Волгоградской области.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принять новый судебный акт.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Суд кассационной инстанции вправе отменить решение суда первой инстанции и постановление суда апелляционной инстанции и направить дело на новое рассмотрение, действуя в пределах полномочий, предоставленных ему статьей 287 Арбитражного процессуального кодекса Российской Федерации и по основаниям, предусмотренным статьей 288 названного Кодекса. Изучив изложенные в кассационной жалобе доводы и обжалуемый судебный акт, учитывая, что после направления дела на новое рассмотрение судом первой инстанции 12.03.2020 принято решение по существу спора, которое подлежит обжалованию в установленном законом порядке,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«Тепломонтаж»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"Тепломонтаж" (подробнее) Ответчики: Администрация Клетского сельского поселения (подробнее) Администрация Клетского сельского поселения Среднеахтубинского муниципального района Волгоградской области (подробнее) Джумагулову А.С. - представителю администрации Клетского сельского поселения Среднеахтубинского муниципального района Волгоградской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