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21.01.2020, оставленным без изменения постановлением Девятого арбитражного апелляционного суда от 11.06.2020 и постановлением Арбитражного суда Московского округа от 08.10.2020, первоначальный иск удовлетворен частично, с института в пользу общества взыскано 10 000 000 руб. неустойки; в удовлетворении встречного иска отказано. В кассационной жалобе, поданной в Верховный Суд Российской Федерации, институт, ссылаясь на нарушение судами норм материального и процессуального права, просит отменить указанные судебные акты 2 и направить дело на новое рассмотрение в Арбитражный суд города Москвы в ином составе судей. При этом в жалобе заявитель выражает несогласие с расчетом произведенной обществом неустойки и не приводит доводов о незаконности судебных актов в остальной части.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руководствуясь статьями 309, 310, 329, 330, 401, 405, 708, 720 Гражданского кодекса Российской Федерации,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несвоевременного исполнения институтом обязательств по договору и отсутствие доказательств вины общества в указанной просрочке, пришли к выводу о наличии оснований для взыскания с института неустойки и, снизив ее размер в порядке статьи 333 Гражданского кодекса Российской Федерации по ходатайству последнего, частично удовлетворили первоначальный иск. Суд округа поддержал выводы судов первой и апелляционной инстанций. Доводы кассационной жалобы не опровергают выводы судов и не подтверждают существенных нарушений судами норм материального и процессуального права, повлиявших на исход дела.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открытого акционерного общества «Научно-исследовательский, проектно-изыскательский институт «Ленметрогипротранс»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