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31.01.2020 оставленным без изменения постановлением Второго арбитражного апелляционного суда от 16.06.2020 и постановлением Арбитражного суда Волго-Вятского округа от 08.10.2020, производство по делу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Демин Н.П., ссылаясь на незаконность указанных судебных актов, просит их отменить и принять новый судебный акт об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Прекращая производство по делу, суд первой инстанции исходил из того, что погашенный технический паспорт, а также акт обследования не являются по смыслу статьи 198 Арбитражного процессуального кодекса Российской Федерации ненормативными правовыми актами, возлагающими на Демина Н.П. какие-либо обязанности или предоставляющими какие-либо субъективные права в сфере экономической деятельности. Оставляя без изменения определение суда первой инстанции, апелляционный суд отметил, что Демин Н.П., заявив требование об аннулировании записи о погашении технического паспорта и восстановлении записи о его действительности, избрал неверный способ защиты права. С выводами судов впоследствии согласился суд округа. Доводы кассационной жалобы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главы крестьянского (фермерского) хозяйства Демина Николая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