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Инспекция Федеральной налоговой службы № 23 по городу Москве (далее – уполномоченный орган) обратилась в суд с заявлением о включении в реестр требований кредиторов должника (далее – реестр) 183 163 018 рублей 03 копеек основного долга во вторую очередь реестра, 23 796 264 рублей 14 копеек основного долга, 31 964 790 рублей 93 копеек пени, 24 961 609 рублей 63 копеек штрафа в третью очередь реестра. Определением Арбитражного суда города Москвы от 20.01.2020, оставленным без изменения постановлениями Девятого арбитражного апелляционного суда от 06.08.2020 и Арбитражного суда Московского округа от 19.10.2020, заявление удовлетворено. В кассационной жалобе, поданной в Верховный Суд Российской Федерации, заявитель просит отменить указанные судебные акты, принять по делу новый судебный акт или направить дело на новое рассмотрение. 15.12.2020, 18.12.2020, 19.12.2020, 20.12.2020, 21.12.2020 и 22.12.2020 от Сиротина Сергея Александровича, Глушкова Виталия Вячеславовича, Борисенко Евгения Владимировича, Айвазовой Анны Валерьевны, Колесниковой Ларисы Витальевны, Петровой Надежды Александровны и Самойловой Ольги Михайловны поступили отзывы в поддержку кассационной жалобы заявителя в порядке, предусмотренном статьей 291.4 Арбитражного процессуального кодекса Российской Федерации.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отзывов таких оснований не установлено. Разрешая спор, суды, руководствуясь статьями 71, 100, 142 Федерального закона от 26.10.2002 № 127-ФЗ «О несостоятельности (банкротстве)», статьями 38, 44, 69, 80 Налогового кодекса Российской Федерации, абзацем одиннадцатым пункта 10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(утверждённого Президиумом Верховного Суда Российской Федерации 20.12.2016), исходили из того, что требование уполномоченного органа подтверждено документально и заявлено в установленный законом срок, в связи с чем подлежит включению в реестр.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Козлову Александру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