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требований в размере 12 146 295 рублей 80 копеек. Определением Арбитражного суда Свердловской области от 19.05.2020, оставленным без изменения постановлениями Семнадцатого арбитражного апелляционного суда от 20.07.2020 и Арбитражного суда Уральского округа от 12.10.2020, заявление удовлетворено частично, требование общества в размере 993 000 рублей признано обоснованным и подлежащим включению в третью очередь реестра.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15, 1064 и 1082 Гражданского кодекса Российской Федерации, статей 71 и 100 Федерального закона от 26.10.2002 № 127-ФЗ «О несостоятельности (банкротстве)», установив получение Хорьковым С.В. с расчётного счёта общества денежных средств в размере 993 000 рублей в отсутствии на то оснований, пришли к выводу о частичной обоснованности требований, указав на недоказанность необходимой совокупности оснований для удовлетворения требования о взыскании с должника убытков в остальной части, отсутствие причинно- следственной связи между действиями должника и наличием убытков на стороне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«Урал-Трейд» Щеголькову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