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исключении из реестра требований кредиторов должника требований публичного акционерного общества «Банк «Траст» (далее – банк) в размере 68 526 863 рублей 54 копеек. Определением Арбитражного суда города Москвы от 06.03.2020, оставленным без изменения постановлениями Девятого арбитражного апелляционного суда от 10.08.2020 и Арбитражного суда Московского округа от 21.10.2020,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16 Федерального закона от 26.10.2002 № 127-ФЗ «О несостоятельности (банкротстве)», установив, что заключение мирового соглашения в рамках дела о банкротстве основного заёмщика не изменяет условий обязательства Язева В.А. как поручителя, пришли к выводу об отсутствии оснований для исключения требований банка из реестра требований кредиторов должника.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Язеву Валерию Афонасьевичу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