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К документам, устанавливающим имущественное положение заинтересованной стороны, относятся: 2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надлежащих доказательств, свидетельствующих, что его имущественное положение на момент подачи жалобы – 05.02.2021 не позволяет ему уплатить при обращении с кассационной жалобой государственную пошлину в установленном размере. Представленные документы – сведения об открытых банковских счетах от 18.12.2019 и справки баков от 18.12.2019 не являются надлежащими доказательствами, свидетельствующими о том, что имущественное положение заявителя на момент подачи жалобы (05.02.2021) не позволяет ему уплатить при обращении с кассационной жалобой государственную пошлину.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«ТЭК Перевозчик.63»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«ТЭК Перевозчик.63» на постановление Пятнадцатого арбитражного апелляционного суда от 09.10.2020 и постановление Арбитражного суда Северо-Кавказского округа от 28.01.2021 по делу № А32-59713/2019 Арбитражного суда Краснодарского края.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