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её требования в размере 1 048 584 рублей 47 копеек, в том числе 754 482 рублей 90 копеек основного долга, 187 943 рублей 39 копеек процентов за пользование чужими денежными средствами и 105 275 рублей пени. Определением Арбитражного суда Тверской области от 27.02.2020, оставленным без изменения постановлениями Четырнадцатого арбитражного апелляционного суда от 10.06.2020 и Арбитражного суда Северо-Западного округа от 13.10.2020, во включении в реестр требования заявителя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195, 196, 199, 200, 203 384 Гражданского кодекса Российской Федерации, статьями 71, 100, 142 Федерального закона от 26.10.2002 № 127-ФЗ «О несостоятельности (банкротстве)», исходили из пропуска заявителем срока исковой давности по предъявленному требованию в отсутствии доказательств его прерывания и принятия мер по взысканию долга, в связи с чем отказали во включении его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«Проектно-строительная компания «Возрождение»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