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Белов А.В. обратился в суд с заявлением о включении в реестр требований кредиторов должника (далее – реестр) его требования в размере 1 082 320 рублей 85 копеек, в том числе 863 130 рублей основного долга и 219 190 рублей 85 копеек процентов за пользование чужими денежными средствами. Определением Арбитражного суда Тверской области от 27.02.2020, оставленным без изменения постановлениями Четырнадцатого арбитражного апелляционного суда от 06.07.2020 и Арбитражного суда Северо-Западного округа от 13.10.2020, во включении в реестр требования заявителя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195, 196, 199, 200, 203 384 Гражданского кодекса Российской Федерации, статьями 71, 100, 142 Федерального закона от 26.10.2002 № 127-ФЗ «О несостоятельности (банкротстве)», исходили из пропуска заявителем срока исковой давности по предъявленному требованию в отсутствии доказательств его прерывания и принятия мер по взысканию долга, в связи с чем отказали во включении его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Альберту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