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Новосибирской области от 29.01.2020, оставленным без изменения постановлением Седьмого арбитражного апелляционного суда от 15.06.2020, в удовлетворении заявленных требований отказано. Постановлением Арбитражного суда Западно-Сибирского округа от 15.10.2020 указанные судебные акты оставлены без изменения. Учреждение просит обжалуемые судебные акты отменить, считая их незаконными и необоснованными. При рассмотрении доводов жалобы и принятых по делу судебных актов оснований для удовлетворения жалобы не установлено. Как следует из судебных актов, основанием для привлечения к ответственности послужили выявленные административным органом факты нецелевого использования обществом субсидии на финансовое обеспечение выполнения государственного задания на оказание государственных услуг (выполнение работ) по оказанию специализированной медицинской помощи. Оценив представленные доказательства, руководствуясь положениями Бюджетного кодекса Российской Федерации, суды пришли к выводу о доказанности административным органом в действиях общества состава административного правонарушения, ответственность за совершение которого предусмотрена статьей 14.15 Кодекса Российской Федерации об административных правонарушениях. Признавая вину учреждения в совершенном правонарушении, суды не усмотрели объективных препятствий для соблюдения правил и норм, за нарушение которых предусмотрена административная ответственность. Процедура и срок давности привлечения к ответственности соблюдены. Оснований для применения статьи 2.9 Кодекса Российской Федерации об административных правонарушениях не установлено. 3 Доводы жалобы получили исчерпывающую правовую оценку в обжалуемых судебных актах с учетом установленных обстоятельств, не согласиться с которой оснований не имеется. Доказательств наличия существенных недостатков протокола с учетом разъяснений, содержащихся в пункте 4 постановления Пленума Верховного Суда Российской Федерации от 24.03.2005 № 5 «О некоторых вопросах, возникающих у судов при применении Кодекса Российской Федерации об административных правонарушениях», не представлено. Доводов о том, что учреждение заблуждалось относительно вмененного правонарушения, а также чем конкретно нарушены права учреждения, какие доказательства и возражения оно было лишено возможности представить при сформулированном в протоколе событии правонарушения, в жалобе не приведено. Протокол составлен проверяющим должностным лицом, обнаружившим достаточные данные, которые указывают на наличие административного правонарушения. Использования доказательств по делу об административном правонарушении, полученных с нарушением закона, судами не выявлено, в жалобе указанные выводы не опровергнуты. Существенных нарушений судами норм материального права, а также требований процессуального законодательства, повлиявших на исход судебного разбирательства, по доводам жалобы не установлено.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4</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