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20.03.2020, оставленным без изменения постановлением Восемнадцатого арбитражного апелляционного суда от 17.06.2020, с ответчика в пользу истца взыскано 136,49 рублей пени, 1970 рублей судебных расходов по уплате государственной пошлины. 2 Постановлением Арбитражного суда Уральского округа от 14.10.2020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329, 330, 521, 525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в части 136,49 рублей, признав факт нарушения ответчиком сроков поставки товара, установленных контрактом, с учетом частичного добровольного удовлетворения требований ответчиком после обращения истца в суд. Судебные расходы распределены с учетом правовой позиции, изложенной в пункте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обстоятельств в жалобе не приведено. 3 Доводы жалоб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