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20.05.2020, оставленным без изменения постановлением Одиннадцатого арбитражного апелляционного суда от 08.07.2020, в удовлетворении заявленного требования 2 отказано в связи с пропуском срока давности привлечения к административной ответственности, а также вынесения оспариваемого предписания неуполномоченным лицом. Постановлением Арбитражного суда Поволжского округа от 15.10.2020 указанные судебные акты оставлены без изменения. Административный орган в кассационной жалобе просит изменить состоявшиеся по делу судебные акты в части выводов судов о вынесении оспариваемого предписания неуполномоченным лицом. Между тем,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передача кассационной жалобы в Судебную коллегию Верховного Суда Российской Федерации не приведет к защите публичных прав.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3 Пропуск срока давности привлечения к административной ответственности заявитель кассационной жалобы не оспаривает.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