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«ПроТехРесурс» обратилось в Арбитражный суд города Москвы с иском о взыскании с общества с ограниченной ответственностью «Семь Фильтров» 135 000 рублей неосновательного обогащения, 3 927 рублей 02 копеек процентов за пользование чужими денежным средствами, с последующим их начислением по день фактической уплаты долга. Судом произведена процессуальная замена истца - общества с ограниченной ответственностью «ПроТехРесурс» на общество с ограниченной ответственностью «Вектор Финанс». Решением Арбитражного суда города Москвы от 24.01.2020 иск удовлетворен. Постановлением Девятого арбитражного апелляционного суда от 26.06.2020 решение суда первой инстанции оставлено без изменения. Арбитражный суд Московского округа постановлением от 27.10.2020 указанные судебные акты оставил без изменения. 2 Общество с ограниченной ответственностью «Семь Фильтров»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факт получения ответчиком спорных денежных средств в отсутствие заключенного между сторонами договора и недоказанность исполнения ответчиком встречного обязательства по поставке товара, руководствуясь положениями статей 309, 310, 395, 487, 506 Гражданского кодекса Российской Федерации, суды пришли к выводу об обоснованности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отказе в привлечении к участию в деле третьего лица, не заявляющего самостоятельных требований относительно предмета спора,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«Семь Фильтров»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