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«ТСМ» обратилось в Арбитражный суд Краснодарского края с иском о взыскании с общества с ограниченной ответственностью «Группа компаний «Чистый сервис» 6 745 475 рублей 11 копеек задолженности. Решением Арбитражного суда Краснодарского края от 23.10.2019 в удовлетворении иска отказано. Постановлением Пятнадцатого арбитражного апелляционного суда от 21.05.2020 решение суда первой инстанции отменено и иск удовлетворен. Арбитражный суд Северо-Кавказского округа постановлением от 21.10.2020 постановление суда апелляционной инстанции отменил и оставил в силе решение суда первой инстанции. Общество с ограниченной ответственностью «ТСМ» в лице конкурсного управляющего обратилось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учитывая выводы экспертного заключения по результатам судебной почерковедческой экспертизы, отсутствие допустимых доказательств оказания услуг и передачи ответчику результатов их оказания, руководствуясь статьями 779, 781 Гражданского кодекса Российской Федерации, суд первой инстанции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«ТСМ» в лице конкурсного управляющего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