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ее подачи.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2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обжалуемым судебным актом является постановление Арбитражного суда Московского округа, принятое и вступившее в законную силу 19.11.2020, следовательно, срок на подачу кассационной жалобы истек 19.01.2021. Общество, подав кассационную жалобу 29.01.2021 (согласно штампу на почтовом конверте), в обоснование ходатайства о восстановлении пропущенного срока сослалось на обращение в суд первой инстанции за получением заверенных копий судебных актов, которые поступили в адрес общества 14.12.2020. Между тем указанный довод не является уважительной причиной пропуска срока, не зависящей от подателя жалобы, и не подтверждает наличие у него объективных препятствий своевременно изготовить и подать кассационную жалобу по настоящему делу с учетом того, что общество являлось инициатором кассационного обжалования, его представитель присутствовал в судебном заседании суда округа и постановление названного суда от 19.11.2020 опубликовано на официальном сайте суда 20.11.2020. Кроме того, следует отметить, что копии заверенных судебных актов получены обществом 14.12.2020, то есть более чем за месяц до истечения установленного срока на подачу жалобы. В силу части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Поскольку обществом не приведено объективных причин, препятствующих ему подать кассационную жалобу в установленный законом срок, ходатайство следует оставить без удовлетворения, а кассационную жалобу - возвратить заявителю. Уплаченная обществом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291.2, 291.5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Научно-производственное предприятие «Контакт-Технология» о восстановлении пропущенного срока подачи кассационной жалобы отказать. Кассационную жалобу общества с ограниченной ответственностью Научно-производственное предприятие «Контакт-Технология» на решение Арбитражного суда города Москвы от 26.06.2020, постановление Девятого арбитражного апелляционного суда от 07.09.2020 и постановление Арбитражного суда Московского округа от 19.11.2020 по делу № А40-111649/2019 возвратить заявителю. Возвратить обществу с ограниченной ответственностью Научно-производственное предприятие «Контакт-Технология» из федерального бюджета 3000 рублей государственной пошлины, уплаченной по платежному поручению от 15.12.2020 № 131.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