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12.09.2019 в удовлетворении исковых требований общества отказано; с общества в пользу предпринимателя взыскано 261 199 руб. задолженности, 156 197 руб. неустойки, 10 640 руб. судебных расходов по уплате государственной пошлины, 22 917 руб. судебных расходов по оплате судебной экспертизы, в удовлетворении остальной части встречных исковых требований отказано. 2 Принятым при новом рассмотрении дела постановлением Пятнадцатого арбитражного апелляционного суда от 11.08.2020 решение суда первой инстанции изменено; абзац второй резолютивной части решения изложен в следующей редакции: «Взыскать с общества в пользу предпринимателя 2541 руб. задолженности, 83 руб. 57 коп. расходов по уплате государственной пошлины, 180 руб. расходов по оплате судебной экспертизы». Постановлением Арбитражного суда Северо-Кавказского округа от 29.10.2020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новый судебный акт об удовлетворении первоначального иска и отказе в удовлетворении встречных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заключение судебной экспертизы, пояснения эксперта, установив стоимость выполненных предпринимателем работ, стоимость устранения недостатков работ, учитывая сумму произведенной обществом оплаты, суд апелляционной инстанции пришел к выводу об отсутствии на стороне предпринимателя неосновательного обогащения за счет общества и наличии у последнего задолженности перед предпринимателем в размере 2541 руб. и, руководствуясь статьями 331, 420, 432, 434, 702, 740 Гражданского кодекса Российской Федерации, отказал в удовлетворении первоначального иска и частично удовлетворил встречные требования, с чем впоследствии согласился суд округа. Довод заявителя о необоснованном отказе суда апелляционной инстанции в приобщении к материалам дела дополнительных доказательств подлежит отклонению, поскольку такие доказательства предоставляются с соблюдением требований, установленных частью 2 статьи 268 Арбитражного процессуального кодекса Российской Федерации. Иные приведенные в кассационной жалобе доводы были предметом рассмотрения судов апелляционной инстанции и округа, не опровергают выводы судов, направлены на переоценку установленных фактических 3 обстоятельств дела и представленных в материалы дела доказательств и не подтверждают существенных нарушений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«Анюта»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