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Саха (Якутия) от 03.03.2020, оставленным без изменения постановлением Четвертого арбитражного апелляционного суда от 11.06.2020 и постановлением Арбитражного суда Восточно-Сибирского округа от 14.10.2020, в удовлетворении исковых требований отказано. В кассационной жалобе, поданной в Верховный Суд Российской Федерации, общество, ссылаясь на нарушение судами норм материального 2 права, просит отменить указанные судебные акты и принять новый судебный акт об удовлетворении исковых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суды первой и апелляционной инстанций установили, что спорные денежные средства истец перечислил ответчику в добровольном порядке в целях возмещения вреда, причиненного лесному фонду его работниками, в отношении которых возбуждено уголовное дело; доказательств, опровергающих размер ущерба, не представлено. При таких обстоятельствах, руководствуясь статьей 1102 Гражданского кодекса Российской Федерации, суды пришли к выводу об отсутствии на стороне ответчика неосновательного обогащения и отказали в удовлетворении исковых требований, с чем впоследствии согласился суд округа. Доводы кассационной жалобы не опровергают выводы судов, направлены на переоценку обстоятельств, установленных судами,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«Ростехсервис»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