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февраля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«Вентура» обратилось в Арбитражный суд Камчатского края с иском о взыскании с общества с ограниченной ответственностью «Альянс-ДВ Камчатка» 2 108 841 рубля 28 копеек неосновательного обогащения и процентов за пользование чужими денежными средствами. Определением Арбитражного суда Камчатского края от 19.06.2020 исковое заявление ООО «Вентура» возвращено на основании части 1 статьи 129 Арбитражного процессуального кодекса Российской Федерации в связи с отказом в удовлетворении ходатайства об отсрочке уплаты государственной пошлины по иску. Постановлением Пятого арбитражного апелляционного суда от 06.08.2020 определение суда первой инстанции оставлено без изменения. Арбитражный суд Дальневосточного округа постановлением от 14.10.2020 указанные судебные акты оставил без изменения. Общество с ограниченной ответственностью «Вентура»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процессуального права. 2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Отказывая в удовлетворении ходатайства об отсрочке уплаты государственной пошлины, суды руководствовались положениями статей 64, 333.16, 333.22, 333.41 Налогового кодекса Российской Федерации и исходили из того, что заявителем не представлены надлежащие доказательства, подтверждающие, что его имущественное положение на момент подачи иска не позволяет произвести уплату государственной пошлины в размере, установленном действующим законодательством. Доводы жалобы выводы судов не опровергают, не подтверждают существенных нарушений норм процессуального права, повлиявших на исход рассмотрения ходатайства, и не являются достаточным основанием для пересмотра судебных актов в кассационном порядке.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«Вентура»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3</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