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финансовый управляющий его имуществом Габбасов Ильдар Рамзиевич обратился в суд с заявлением об утверждении положения о порядке, условиях и сроках реализации имущества должника. Ахметшина Л.М. обратилась в суд с заявлением, объединённым с вышеуказанным заявлением в одно производство для совместного рассмотрения, об исключении имущества из конкурсной массы. Определением Арбитражного суда Республик Татарстан от 06.02.2020, оставленным без изменения постановлением Одиннадцатого арбитражного апелляционного суда от 15.06.2020, в удовлетворении заявления финансового управляющего отказано, заявление Ахметшиной Л.М. удовлетворено. Постановлением Арбитражного суда Поволжского округа от 08.10.2020 вышеуказанные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положениями статьи 46 Семейного кодекса Российской Федерации, пунктом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установил, что принятые по нему судебные акты вынесены без учёта фактических обстоятельств, имеющих существенное значение для правильного разрешения спора, касающихся, в частности, неисполненных обязательств должника на дату заключения сторонами соответствующего брачного договора.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Ахметшиной Лилии Маратовне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