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«Модум-Транс»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«ПМХ-Транспорт» 7 790 100 рублей штрафа за сверхнормативный простой вагонов по договору от 27.10.2017 № УВЗЛ-ОПВ-843, 1 062 820 рублей 80 копеек пени за нарушение сроков оплаты штрафа, 21 812 рублей 50 копеек расходов на получение сведений из ГВЦ ОАО «РЖД». Решением Арбитражного суда города Москвы от 17.02.2020 иск удовлетворен в части взыскания 4 500 000 рублей штрафа за сверхнормативный простой вагонов и 21 812 рублей 50 копеек расходов; в удовлетворении иска в остальной части отказано. Постановлением Девятого арбитражного апелляционного суда от 07.07.2020 решение суда первой инстанции оставлено без изменения. 2 Арбитражный суд Московского округа постановлением от 21.10.2020 указанные судебные акты оставил без изменения. Общество с ограниченной ответственностью «Модум-Транс» и общество с ограниченной ответственностью «ПМХ-Транспорт»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условий договора об оказании услуг по предоставлению железнодорожного подвижного состава в виде сверхнормативного простоя вагонов, поданных истцом под погрузку, а также несение истцом расходов по оплате справки ГВЦ ОАО «РЖД», учитывая, что ответчиком в установленном договором порядке не было заявлено возражений относительно правильности отражения истцом сведений о простое вагонов, руководствуясь положениями статей 329, 330 Гражданского кодекса Российской Федерации, суды пришли к выводу о наличии оснований для взыскания штрафа за сверхнормативный простой вагонов и расходов по оплате справки, снизив размер подлежащего взысканию штрафа ввиду его явной несоразмерности последствиям нарушения обязательства в соответствии с положениями статьи 333 Гражданского кодекса Российской Федерации, разъяснениями, изложенными в пунктах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Несогласие заявителей кассационных жалоб с произведенной судами оценкой обстоятельств дела и представленных доказательств не 3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«Модум-Транс» и обществу с ограниченной ответственностью «ПМХ-Транспорт»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