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30.12.2019 заявленные требования удовлетворены. Постановлением Двадцатого арбитражного апелляционного суда от 27.05.2020 решение суда первой инстанции отменено, в удовлетворении заявленных требований отказано. Постановлением Арбитражного суда Центрального округа от 19.10.2020 постановление суда апелляционной инстанции оставлено без изменения. Общество просит отменить обжалуемые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решение суда первой инстанции и отказывая в удовлетворении требования, суд апелляционной инстанции руководствовался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и исходил из установленных обстоятельств, свидетельствующих о том, что применение в отношении застрахованного лица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заработка, а приобретает характер дополнительного материального стимулирования работника, что свидетельствуют о злоупотреблении обществом правом в целях предоставления своим сотрудникам дополнительного материального обеспечения, возмещаемого за счет средств фонда. Суд округа согласился с выводами суда апелляционной инстанции. Доводы жалобы по существу сводятся к несогласию заявителя с толкованием судами апелляционной и кассационной инстанций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"Эксперт 62" (подробнее) Ответчики: ГУ Рязанское региональное отделение Фонда социального страхования Российской Федерации (подробнее) Иные лица: ООО "Эксперт 62" в лице представителя: Григорович Ксенья Александровна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