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Копылова Л.М. обратилась в суд с заявлениями о пересмотре определений Арбитражного суда Республики Татарстан от 09.08.2017, от 13.02.2018, от 14.06.2018, от 07.03.2019, от 08.12.2017, от 01.04.2019, от 07.03.2019, от 17.04.2017, от 14.09.2017, от 25.02.2019 по вновь открывшимся обстоятельствам. Определением Арбитражного суда Республики Татарстан от 18.02.2020, оставленным без изменения постановлениями Одиннадцатого арбитражного апелляционного суда от 09.06.2020 и Арбитражного суда Поволжского округа от 24.09.2020, в удовлетворении заявлений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заявлений, суд первой инстанции, руководствуясь положениями статей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того, что приводимые в них доводы не свидетельствуют о наличии каких-либо новых или вновь открывшихся для дела обстоятельств, которые не были предметом судебного разбирательства по настоящему делу и способны повлиять на выводы суда при принятии указанных для пересмотра судебных актов. С выводами суда первой инстанции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