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10.02.2020, оставленным без изменения постановлением Девятого арбитражного апелляционного суда от 10.06.2020, первоначальный иск удовлетворен, в удовлетворении встречного иска отказано. Постановлением Арбитражного суда Московского округа от 13.10.2020 указанные судебные акты оставлены без изменения. Росреестр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10, 168, 309, 310, 386, 388, 388.1, 781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первоначальный иск, признав неисполненной заказчиком обязанность по оплате оказанных услуг; в удовлетворении встречного иска отказали исходя из отсутствия оснований для признания сделок недействительными. Доводы кассационной жалобы были предметом исследования судов и получили исчерпывающую правовую оценку с учетом отсутствия доказательств, свидетельствующих о нарушении права заказчика совершением уступки права требования,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