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13.03.2020, оставленным без изменения постановлением Пятнадцатого арбитражного апелляционного суда от 22.06.2020, в иске отказано. 2 Постановлением Арбитражного суда Северо-Кавказского округа от 13.10.2020 указанные судебные акты оставлены без изменения. Предприниматель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10, 450.1, 606, 607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иске, признав правомерным односторонний отказ заказчика от исполнения контракта. Доводы кассационной жалобы были предметом исследования судов и получили исчерпывающую правовую оценку с учетом наличия в контракте условия о том, что одна из сторон может отказаться от исполнения договора, а также с учетом установленных по делу обстоятельств, свидетельствующих о недостатках объекта закупки,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