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Зеленчикова Т.В. обратилась в суд с заявлением о взыскании с должника 151 818 рублей 18 копеек вознаграждения за осуществление ею полномочий конкурсного управляющего должником в период с 05.12.2012 по 15.05.2015. Определением Арбитражного суда Волгоградской области от 03.08.2020, оставленным без изменения постановлениями Двенадцатого арбитражного апелляционного суда от 15.09.2020 и Арбитражного суда Поволжского округа от 17.11.2020, заявление удовлетворено в части взыскания с должника в пользу заявителя 10 000 рублей вознаграждения за процедуру конкурсного производства.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Волгоградской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59 Федерального закона от 26.10.2002 № 127-ФЗ «О несостоятельности (банкротстве)», пунктом5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применительно к конкретным фактическим обстоятельствам, обусловленным фактами ненадлежащего исполнения заявителем возложенных на неё обязанностей конкурсного управляющего должником, длительного немотивированного бездействия по неоспариванию сделок должника, невозврату отчуждённого имущества и неистребованию документации, пришли к выводу о необходимости снижения суммы фиксированного вознаграждения управляющего соразмерно объёму выполненных работ.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Зеленчиковой Татьяне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