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04.03.2020, в удовлетворении требования отказано, оспариваемое постановление признано не подлежащим исполнению. Постановлением Тринадцатого арбитражного апелляционного суда от 26.05.2020 решение суда первой инстанции отменено, в удовлетворении требования отказано. Постановлением Арбитражного суда Северо-Западного округа от 20.10.2020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постановление суда апелляционной инстанции и постановление суда округа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оспариваемое постановление вынесено по факту выявленного правонарушения, выразившегося в эксплуатации объекта для размещения информации в отсутствие соответствующего разрешения. Опровергая выводы суда первой инстанции о наличии оснований для признания оспариваемого постановления не подлежащим исполнению, суды апелляционной и кассационной инстанций исходили из того, что после вынесения оспариваемого постановления обязанность общества, за неисполнение которой оно привлечено к ответственности, не устранена. Выводы судов соответствуют положениям статей 1.7 , 31.7 , 31.8 Кодекса Российской Федерации об административных правонарушениях, а также разъяснениям, содержащимся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и пунктов 1 и 2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правонарушения». Доказательств того, что действия общества с учетом новой редакции нормы перестали иметь характер правонарушения, не представлено.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"ТАНДЕР" (подробнее) Ответчики: Комитет по печати и взаимодействию со средствами массовой информации (подробнее) Иные лица: Тринадцатый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