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«СтройТрансГаз регион» обратилось в Арбитражный суд Тюменской области с иском о взыскании с акционерного общества «КонсалтТрансСервис» 12 760 000 рублей штрафных санкций в рамках договора оказания услуг от 11.09.2017 № СТГ-Р-УСЛ-00230. Решением Арбитражного суда Тюменской области от 06.05.2019 иск удовлетворен. Постановлением Восьмого арбитражного апелляционного суда от 13.08.2019 решение суда первой инстанции изменено и иск удовлетворен в части взыскания 4 253 333 рублей неустойки, а также 86 800 рублей расходов по уплате государственной пошлины, в удовлетворении иска в остальной части отказано. Акционерное общество «КонсалтТрансСервис» обратилось в арбитражный суд с заявлением о взыскании с ООО «СтройТрансГаз регион» 309 460 рублей судебных расходов, понесенных при рассмотрении настоящего дела. 2 Определением Арбитражного суда Тюменской области от 25.02.2020 в удовлетворении заявления отказано. Постановлением Восьмого арбитражного апелляционного суда от 07.07.2020 определение суда первой инстанции оставлено без изменения. Арбитражный суд Западно-Сибирского округа постановлением от 13.10.2020 указанные судебные акты по вопросу о взыскании судебных расходов оставил без изменения. Акционерное общество «КонсалтТрансСервис»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во взыскании судебных расходов, суды исходили из того, что отказ в удовлетворении иска в части обусловлен снижением размера неустойки на основании статьи 333 Гражданского кодекса Российской Федерации, в связи с чем истец не может быть признан проигравшей спор стороной и правило о пропорциональном распределении судебных издержек не применимо. При этом суды руководствовались положениями статей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«КонсалтТрансСервис»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